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Monday, September 15,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Design principles, sampling designs, logistics and estimation. (Ray Webster)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and integrating NW and SW acoustic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Cole Monnahan/Derek Bolser, Julia Clemons (NWFSC)</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Stewart/Allan Hicks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Gauvin,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Mark Dickey-Collas (ICES)</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 panel discussion: Alex De Robertis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4" w:name="course-work"/>
    <w:p>
      <w:pPr>
        <w:pStyle w:val="Heading1"/>
      </w:pPr>
      <w:r>
        <w:t xml:space="preserve">3. Course Work</w:t>
      </w:r>
    </w:p>
    <w:p>
      <w:pPr>
        <w:pStyle w:val="FirstParagraph"/>
      </w:pPr>
      <w:r>
        <w:t xml:space="preserve">This page provides an overview of the different coursework offered in the course, including descriptions, objectives, and expectations for each component</w:t>
      </w:r>
    </w:p>
    <w:bookmarkStart w:id="53" w:name="simulations"/>
    <w:p>
      <w:pPr>
        <w:pStyle w:val="Heading2"/>
      </w:pPr>
      <w:r>
        <w:t xml:space="preserve">3.1 Simulations</w:t>
      </w:r>
    </w:p>
    <w:p>
      <w:pPr>
        <w:pStyle w:val="FirstParagraph"/>
      </w:pPr>
      <w:r>
        <w:t xml:space="preserve">Simulations in fisheries survey research are crucial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2">
        <w:r>
          <w:rPr>
            <w:rStyle w:val="Hyperlink"/>
          </w:rPr>
          <w:t xml:space="preserve">here</w:t>
        </w:r>
      </w:hyperlink>
      <w:r>
        <w:t xml:space="preserve">.</w:t>
      </w:r>
    </w:p>
    <w:bookmarkEnd w:id="53"/>
    <w:bookmarkEnd w:id="54"/>
    <w:bookmarkStart w:id="5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5"/>
    <w:bookmarkStart w:id="76" w:name="survey-resources"/>
    <w:p>
      <w:pPr>
        <w:pStyle w:val="Heading1"/>
      </w:pPr>
      <w:r>
        <w:t xml:space="preserve">5. Survey Resources</w:t>
      </w:r>
    </w:p>
    <w:bookmarkStart w:id="74" w:name="afsc-grounfish-bottom-trawl-survey"/>
    <w:p>
      <w:pPr>
        <w:pStyle w:val="Heading2"/>
      </w:pPr>
      <w:r>
        <w:t xml:space="preserve">5.1 AFSC Grounfish Bottom Trawl Survey</w:t>
      </w:r>
    </w:p>
    <w:p>
      <w:pPr>
        <w:pStyle w:val="Compact"/>
        <w:numPr>
          <w:ilvl w:val="0"/>
          <w:numId w:val="1012"/>
        </w:numPr>
      </w:pPr>
      <w:hyperlink r:id="rId56">
        <w:r>
          <w:rPr>
            <w:rStyle w:val="Hyperlink"/>
          </w:rPr>
          <w:t xml:space="preserve">Groundfish Assessment Program Bottom Trawl Surveys</w:t>
        </w:r>
      </w:hyperlink>
    </w:p>
    <w:p>
      <w:pPr>
        <w:pStyle w:val="Compact"/>
        <w:numPr>
          <w:ilvl w:val="0"/>
          <w:numId w:val="1012"/>
        </w:numPr>
      </w:pPr>
      <w:hyperlink r:id="rId57">
        <w:r>
          <w:rPr>
            <w:rStyle w:val="Hyperlink"/>
          </w:rPr>
          <w:t xml:space="preserve">AFSC’s Resource Assessment and Conservation Engineering Division</w:t>
        </w:r>
      </w:hyperlink>
    </w:p>
    <w:p>
      <w:pPr>
        <w:pStyle w:val="Compact"/>
        <w:numPr>
          <w:ilvl w:val="0"/>
          <w:numId w:val="1012"/>
        </w:numPr>
      </w:pPr>
      <w:hyperlink r:id="rId58">
        <w:r>
          <w:rPr>
            <w:rStyle w:val="Hyperlink"/>
          </w:rPr>
          <w:t xml:space="preserve">All AFSC Research Surveys</w:t>
        </w:r>
      </w:hyperlink>
    </w:p>
    <w:p>
      <w:pPr>
        <w:pStyle w:val="Compact"/>
        <w:numPr>
          <w:ilvl w:val="0"/>
          <w:numId w:val="1012"/>
        </w:numPr>
      </w:pPr>
      <w:hyperlink r:id="rId59">
        <w:r>
          <w:rPr>
            <w:rStyle w:val="Hyperlink"/>
          </w:rPr>
          <w:t xml:space="preserve">Publications and Data Reports</w:t>
        </w:r>
      </w:hyperlink>
    </w:p>
    <w:p>
      <w:pPr>
        <w:pStyle w:val="Compact"/>
        <w:numPr>
          <w:ilvl w:val="0"/>
          <w:numId w:val="1012"/>
        </w:numPr>
      </w:pPr>
      <w:hyperlink r:id="rId60">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3" w:name="refs"/>
    <w:bookmarkStart w:id="6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62"/>
    <w:bookmarkStart w:id="64"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64"/>
    <w:bookmarkStart w:id="6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66"/>
    <w:bookmarkStart w:id="6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68"/>
    <w:bookmarkStart w:id="70"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70"/>
    <w:bookmarkStart w:id="7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72"/>
    <w:bookmarkEnd w:id="73"/>
    <w:bookmarkEnd w:id="74"/>
    <w:bookmarkStart w:id="75" w:name="international-pacific-halibut-commission"/>
    <w:p>
      <w:pPr>
        <w:pStyle w:val="Heading2"/>
      </w:pPr>
      <w:r>
        <w:t xml:space="preserve">5.2 International Pacific Halibut Commission</w:t>
      </w:r>
    </w:p>
    <w:p>
      <w:pPr>
        <w:pStyle w:val="FirstParagraph"/>
      </w:pPr>
      <w:r>
        <w:rPr>
          <w:i/>
          <w:iCs/>
        </w:rPr>
        <w:t xml:space="preserve">[Info coming soon!]</w:t>
      </w:r>
    </w:p>
    <w:bookmarkEnd w:id="75"/>
    <w:bookmarkEnd w:id="76"/>
    <w:bookmarkStart w:id="81" w:name="references"/>
    <w:p>
      <w:pPr>
        <w:pStyle w:val="Heading1"/>
      </w:pPr>
      <w:r>
        <w:t xml:space="preserve">6. References</w:t>
      </w:r>
    </w:p>
    <w:bookmarkStart w:id="78"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77">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78"/>
    <w:bookmarkStart w:id="79"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79"/>
    <w:bookmarkStart w:id="80"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0"/>
    <w:bookmarkEnd w:id="81"/>
    <w:bookmarkStart w:id="89" w:name="references-1"/>
    <w:p>
      <w:pPr>
        <w:pStyle w:val="Heading1"/>
      </w:pPr>
      <w:r>
        <w:t xml:space="preserve">References</w:t>
      </w:r>
    </w:p>
    <w:bookmarkStart w:id="88" w:name="refs"/>
    <w:bookmarkStart w:id="8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82"/>
    <w:bookmarkStart w:id="83"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83"/>
    <w:bookmarkStart w:id="84"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84"/>
    <w:bookmarkStart w:id="85"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85"/>
    <w:bookmarkStart w:id="86"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86"/>
    <w:bookmarkStart w:id="87"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87"/>
    <w:bookmarkEnd w:id="88"/>
    <w:bookmarkEnd w:id="89"/>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2025-09-15T17:12:30Z</dcterms:created>
  <dcterms:modified xsi:type="dcterms:W3CDTF">2025-09-15T17:12:30Z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